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Read Google Analytics</w:t>
      </w:r>
    </w:p>
    <w:p>
      <w:r>
        <w:t>Monthly checklist · Moonraker Academy lesson</w:t>
      </w:r>
    </w:p>
    <w:p>
      <w:r>
        <w:t>One question matters for a practice: where do your inquiries actually come from? Three steps, once a month: channels, inquiries, one decision.</w:t>
      </w:r>
    </w:p>
    <w:p>
      <w:pPr>
        <w:pStyle w:val="Heading2"/>
      </w:pPr>
      <w:r>
        <w:t>BEFORE YOU START — One key event for every inquiry</w:t>
      </w:r>
    </w:p>
    <w:p>
      <w:r>
        <w:t>You need the generate_lead key event from the Analytics setup lesson. Without it, Analytics can only count visits, and visits aren’t inquiries. Send yourself a test inquiry and check it counts.</w:t>
      </w:r>
    </w:p>
    <w:tbl>
      <w:tblPr>
        <w:tblStyle w:val="TableGrid"/>
        <w:tblW w:type="auto" w:w="0"/>
        <w:tblLook w:firstColumn="1" w:firstRow="1" w:lastColumn="0" w:lastRow="0" w:noHBand="0" w:noVBand="1" w:val="04A0"/>
      </w:tblPr>
      <w:tblGrid>
        <w:gridCol w:w="5112"/>
        <w:gridCol w:w="5112"/>
      </w:tblGrid>
      <w:tr>
        <w:tc>
          <w:tcPr>
            <w:tcW w:type="dxa" w:w="3312"/>
          </w:tcPr>
          <w:p>
            <w:r>
              <w:t>generate_lead set up and counting (date of test)</w:t>
            </w:r>
          </w:p>
        </w:tc>
        <w:tc>
          <w:tcPr>
            <w:tcW w:type="dxa" w:w="6912"/>
            <w:shd w:fill="EEF9F4"/>
          </w:tcPr>
          <w:p>
            <w:r/>
          </w:p>
        </w:tc>
      </w:tr>
    </w:tbl>
    <w:p>
      <w:pPr>
        <w:pStyle w:val="Heading2"/>
      </w:pPr>
      <w:r>
        <w:t>1 · CHANNELS — Where people arrive from</w:t>
      </w:r>
    </w:p>
    <w:p>
      <w:r>
        <w:t>Reports → Acquisition → Traffic acquisition. Date: last 28 days. Each row is a channel.</w:t>
      </w:r>
    </w:p>
    <w:p>
      <w:r>
        <w:rPr>
          <w:i/>
        </w:rPr>
        <w:t>Examples: Direct: typed your address, or Analytics can’t tell (includes some AI apps) · Organic Search: Google and other search engines, including AI Overviews and AI Mode · AI Assistant: ChatGPT and similar tools · Also Email, Paid Search, Organic Social, Referral</w:t>
      </w:r>
    </w:p>
    <w:tbl>
      <w:tblPr>
        <w:tblStyle w:val="TableGrid"/>
        <w:tblW w:type="auto" w:w="0"/>
        <w:tblLook w:firstColumn="1" w:firstRow="1" w:lastColumn="0" w:lastRow="0" w:noHBand="0" w:noVBand="1" w:val="04A0"/>
      </w:tblPr>
      <w:tblGrid>
        <w:gridCol w:w="5112"/>
        <w:gridCol w:w="5112"/>
      </w:tblGrid>
      <w:tr>
        <w:tc>
          <w:tcPr>
            <w:tcW w:type="dxa" w:w="3312"/>
          </w:tcPr>
          <w:p>
            <w:r>
              <w:t>Total sessions (28 days)</w:t>
            </w:r>
          </w:p>
        </w:tc>
        <w:tc>
          <w:tcPr>
            <w:tcW w:type="dxa" w:w="6912"/>
            <w:shd w:fill="EEF9F4"/>
          </w:tcPr>
          <w:p>
            <w:r/>
          </w:p>
        </w:tc>
      </w:tr>
      <w:tr>
        <w:tc>
          <w:tcPr>
            <w:tcW w:type="dxa" w:w="3312"/>
          </w:tcPr>
          <w:p>
            <w:r>
              <w:t>Top 3 channels by sessions</w:t>
            </w:r>
          </w:p>
        </w:tc>
        <w:tc>
          <w:tcPr>
            <w:tcW w:type="dxa" w:w="6912"/>
            <w:shd w:fill="EEF9F4"/>
          </w:tcPr>
          <w:p>
            <w:r/>
          </w:p>
        </w:tc>
      </w:tr>
    </w:tbl>
    <w:p>
      <w:pPr>
        <w:pStyle w:val="Heading2"/>
      </w:pPr>
      <w:r>
        <w:t>2 · INQUIRIES — Judge every channel by inquiries, not visits</w:t>
      </w:r>
    </w:p>
    <w:p>
      <w:r>
        <w:t>Scroll the table right, past the engagement columns. Under Key events and Event count, click the small arrow that says All events, and choose generate_lead. Small numbers are a signal, not proof: check the last 3 months before you move money or time.</w:t>
      </w:r>
    </w:p>
    <w:tbl>
      <w:tblPr>
        <w:tblStyle w:val="TableGrid"/>
        <w:tblW w:type="auto" w:w="0"/>
        <w:tblLook w:firstColumn="1" w:firstRow="1" w:lastColumn="0" w:lastRow="0" w:noHBand="0" w:noVBand="1" w:val="04A0"/>
      </w:tblPr>
      <w:tblGrid>
        <w:gridCol w:w="5112"/>
        <w:gridCol w:w="5112"/>
      </w:tblGrid>
      <w:tr>
        <w:tc>
          <w:tcPr>
            <w:tcW w:type="dxa" w:w="3312"/>
          </w:tcPr>
          <w:p>
            <w:r>
              <w:t>Top channel for inquiries this month</w:t>
            </w:r>
          </w:p>
        </w:tc>
        <w:tc>
          <w:tcPr>
            <w:tcW w:type="dxa" w:w="6912"/>
            <w:shd w:fill="EEF9F4"/>
          </w:tcPr>
          <w:p>
            <w:r/>
          </w:p>
        </w:tc>
      </w:tr>
      <w:tr>
        <w:tc>
          <w:tcPr>
            <w:tcW w:type="dxa" w:w="3312"/>
          </w:tcPr>
          <w:p>
            <w:r>
              <w:t>A channel with visits but no inquiries</w:t>
            </w:r>
          </w:p>
        </w:tc>
        <w:tc>
          <w:tcPr>
            <w:tcW w:type="dxa" w:w="6912"/>
            <w:shd w:fill="EEF9F4"/>
          </w:tcPr>
          <w:p>
            <w:r/>
          </w:p>
        </w:tc>
      </w:tr>
      <w:tr>
        <w:tc>
          <w:tcPr>
            <w:tcW w:type="dxa" w:w="3312"/>
          </w:tcPr>
          <w:p>
            <w:r>
              <w:t>Same pattern over the last 3 months? (yes / no)</w:t>
            </w:r>
          </w:p>
        </w:tc>
        <w:tc>
          <w:tcPr>
            <w:tcW w:type="dxa" w:w="6912"/>
            <w:shd w:fill="EEF9F4"/>
          </w:tcPr>
          <w:p>
            <w:r/>
          </w:p>
        </w:tc>
      </w:tr>
    </w:tbl>
    <w:p>
      <w:pPr>
        <w:pStyle w:val="Heading2"/>
      </w:pPr>
      <w:r>
        <w:t>3 · ONE DECISION — Change one thing</w:t>
      </w:r>
    </w:p>
    <w:p>
      <w:r>
        <w:t>Do more of what’s working, where inquiries come for the least effort. Organic Search bringing inquiries: keep improving the service pages people land on. A paid channel with visits but no inquiries: pause it, or fix the page it sends people to, before you spend more.</w:t>
      </w:r>
    </w:p>
    <w:tbl>
      <w:tblPr>
        <w:tblStyle w:val="TableGrid"/>
        <w:tblW w:type="auto" w:w="0"/>
        <w:tblLook w:firstColumn="1" w:firstRow="1" w:lastColumn="0" w:lastRow="0" w:noHBand="0" w:noVBand="1" w:val="04A0"/>
      </w:tblPr>
      <w:tblGrid>
        <w:gridCol w:w="5112"/>
        <w:gridCol w:w="5112"/>
      </w:tblGrid>
      <w:tr>
        <w:tc>
          <w:tcPr>
            <w:tcW w:type="dxa" w:w="3312"/>
          </w:tcPr>
          <w:p>
            <w:r>
              <w:t>Channel</w:t>
            </w:r>
          </w:p>
        </w:tc>
        <w:tc>
          <w:tcPr>
            <w:tcW w:type="dxa" w:w="6912"/>
            <w:shd w:fill="EEF9F4"/>
          </w:tcPr>
          <w:p>
            <w:r/>
          </w:p>
        </w:tc>
      </w:tr>
      <w:tr>
        <w:tc>
          <w:tcPr>
            <w:tcW w:type="dxa" w:w="3312"/>
          </w:tcPr>
          <w:p>
            <w:r>
              <w:t>What I changed</w:t>
            </w:r>
          </w:p>
        </w:tc>
        <w:tc>
          <w:tcPr>
            <w:tcW w:type="dxa" w:w="6912"/>
            <w:shd w:fill="EEF9F4"/>
          </w:tcPr>
          <w:p>
            <w:r>
              <w:br/>
            </w:r>
          </w:p>
        </w:tc>
      </w:tr>
      <w:tr>
        <w:tc>
          <w:tcPr>
            <w:tcW w:type="dxa" w:w="3312"/>
          </w:tcPr>
          <w:p>
            <w:r>
              <w:t>Date changed · compare again on</w:t>
            </w:r>
          </w:p>
        </w:tc>
        <w:tc>
          <w:tcPr>
            <w:tcW w:type="dxa" w:w="6912"/>
            <w:shd w:fill="EEF9F4"/>
          </w:tcPr>
          <w:p>
            <w:r/>
          </w:p>
        </w:tc>
      </w:tr>
    </w:tbl>
    <w:p>
      <w:pPr>
        <w:pStyle w:val="Heading2"/>
      </w:pPr>
      <w:r>
        <w:t>HABITS — Keep it honest</w:t>
      </w:r>
    </w:p>
    <w:p>
      <w:r>
        <w:t>Once a month, send yourself a test inquiry and check the key event still fires. Never look for individual people in these reports: you’re counting routes, not clients.</w:t>
      </w:r>
    </w:p>
    <w:tbl>
      <w:tblPr>
        <w:tblStyle w:val="TableGrid"/>
        <w:tblW w:type="auto" w:w="0"/>
        <w:tblLook w:firstColumn="1" w:firstRow="1" w:lastColumn="0" w:lastRow="0" w:noHBand="0" w:noVBand="1" w:val="04A0"/>
      </w:tblPr>
      <w:tblGrid>
        <w:gridCol w:w="5112"/>
        <w:gridCol w:w="5112"/>
      </w:tblGrid>
      <w:tr>
        <w:tc>
          <w:tcPr>
            <w:tcW w:type="dxa" w:w="3312"/>
          </w:tcPr>
          <w:p>
            <w:r>
              <w:t>Monthly test inquiry counted (date)</w:t>
            </w:r>
          </w:p>
        </w:tc>
        <w:tc>
          <w:tcPr>
            <w:tcW w:type="dxa" w:w="6912"/>
            <w:shd w:fill="EEF9F4"/>
          </w:tcPr>
          <w:p>
            <w:r/>
          </w:p>
        </w:tc>
      </w:tr>
    </w:tbl>
    <w:p>
      <w:pPr>
        <w:pStyle w:val="Heading2"/>
      </w:pPr>
      <w:r>
        <w:t>CHECK — This month</w:t>
      </w:r>
    </w:p>
    <w:tbl>
      <w:tblPr>
        <w:tblStyle w:val="TableGrid"/>
        <w:tblW w:type="auto" w:w="0"/>
        <w:tblLook w:firstColumn="1" w:firstRow="1" w:lastColumn="0" w:lastRow="0" w:noHBand="0" w:noVBand="1" w:val="04A0"/>
      </w:tblPr>
      <w:tblGrid>
        <w:gridCol w:w="5112"/>
        <w:gridCol w:w="5112"/>
      </w:tblGrid>
      <w:tr>
        <w:tc>
          <w:tcPr>
            <w:tcW w:type="dxa" w:w="3312"/>
          </w:tcPr>
          <w:p>
            <w:r>
              <w:t>Date checked</w:t>
            </w:r>
          </w:p>
        </w:tc>
        <w:tc>
          <w:tcPr>
            <w:tcW w:type="dxa" w:w="6912"/>
            <w:shd w:fill="EEF9F4"/>
          </w:tcPr>
          <w:p>
            <w:r/>
          </w:p>
        </w:tc>
      </w:tr>
      <w:tr>
        <w:tc>
          <w:tcPr>
            <w:tcW w:type="dxa" w:w="3312"/>
          </w:tcPr>
          <w:p>
            <w:r>
              <w:t>Next check (about one month from now)</w:t>
            </w:r>
          </w:p>
        </w:tc>
        <w:tc>
          <w:tcPr>
            <w:tcW w:type="dxa" w:w="6912"/>
            <w:shd w:fill="EEF9F4"/>
          </w:tcPr>
          <w:p>
            <w:r/>
          </w:p>
        </w:tc>
      </w:tr>
    </w:tbl>
    <w:p>
      <w:r>
        <w:rPr>
          <w:sz w:val="16"/>
        </w:rPr>
        <w:t>This checklist is not legal advice. Keep patient details out of this worksheet and out of Google Analytics. Google and Google Analytics are trademarks of Google LLC. Moonraker Academy is not affiliated with Google.</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 Google Analytics worksheet</dc:title>
  <dc:subject/>
  <dc:creator>Moonraker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